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b/>
          <w:bCs/>
          <w:color w:val="595959"/>
          <w:sz w:val="18"/>
          <w:szCs w:val="18"/>
        </w:rPr>
        <w:t xml:space="preserve">LUXURY RETAIL  ·  SOUTHEAST MICHIGAN</w:t>
      </w:r>
    </w:p>
    <w:p>
      <w:pPr>
        <w:spacing w:after="110"/>
      </w:pPr>
      <w:r>
        <w:rPr>
          <w:rFonts w:ascii="Georgia" w:cs="Georgia" w:eastAsia="Georgia" w:hAnsi="Georgia"/>
          <w:b/>
          <w:bCs/>
          <w:sz w:val="38"/>
          <w:szCs w:val="38"/>
        </w:rPr>
        <w:t xml:space="preserve">Michigan’s Luxury Retail Scene Just Had Its Biggest Year Yet</w:t>
      </w:r>
    </w:p>
    <w:p>
      <w:pPr>
        <w:spacing w:after="140"/>
      </w:pPr>
      <w:r>
        <w:rPr>
          <w:rFonts w:ascii="Georgia" w:cs="Georgia" w:eastAsia="Georgia" w:hAnsi="Georgia"/>
          <w:i/>
          <w:iCs/>
          <w:color w:val="595959"/>
          <w:sz w:val="23"/>
          <w:szCs w:val="23"/>
        </w:rPr>
        <w:t xml:space="preserve">A wave of global brands that once meant a trip to Chicago or New York are opening their first Michigan stores — and choosing Southeast Michigan on purpose.</w:t>
      </w:r>
    </w:p>
    <w:p>
      <w:pPr>
        <w:spacing w:after="40"/>
      </w:pPr>
      <w:r>
        <w:rPr>
          <w:rFonts w:ascii="Georgia" w:cs="Georgia" w:eastAsia="Georgia" w:hAnsi="Georgia"/>
          <w:b/>
          <w:bCs/>
          <w:sz w:val="22"/>
          <w:szCs w:val="22"/>
        </w:rPr>
        <w:t xml:space="preserve">By Michael Stroud</w:t>
      </w:r>
    </w:p>
    <w:p>
      <w:pPr>
        <w:pBdr>
          <w:bottom w:val="single" w:color="BFBFBF" w:sz="6" w:space="8"/>
        </w:pBdr>
        <w:spacing w:after="140"/>
      </w:pPr>
      <w:r>
        <w:rPr>
          <w:sz w:val="12"/>
          <w:szCs w:val="12"/>
        </w:rPr>
        <w:t xml:space="preserve"/>
      </w:r>
    </w:p>
    <w:p>
      <w:pPr>
        <w:spacing w:after="170" w:line="276"/>
      </w:pPr>
      <w:r>
        <w:rPr>
          <w:rFonts w:ascii="Georgia" w:cs="Georgia" w:eastAsia="Georgia" w:hAnsi="Georgia"/>
          <w:sz w:val="22"/>
          <w:szCs w:val="22"/>
        </w:rPr>
        <w:t xml:space="preserve">Drive down Old Woodward in Birmingham or walk through Somerset Collection in Troy right now and you’ll feel it: Michigan is having a real luxury retail moment. Brands that used to require a flight are opening their first Michigan storefronts here, and they’re betting on Southeast Michigan specifically. Here’s who has arrived.</w:t>
      </w:r>
    </w:p>
    <w:p>
      <w:pPr>
        <w:spacing w:after="100" w:before="240"/>
      </w:pPr>
      <w:r>
        <w:rPr>
          <w:rFonts w:ascii="Georgia" w:cs="Georgia" w:eastAsia="Georgia" w:hAnsi="Georgia"/>
          <w:b/>
          <w:bCs/>
          <w:sz w:val="25"/>
          <w:szCs w:val="25"/>
        </w:rPr>
        <w:t xml:space="preserve">Cartier finally comes to Michigan</w:t>
      </w:r>
    </w:p>
    <w:p>
      <w:pPr>
        <w:spacing w:after="170" w:line="276"/>
      </w:pPr>
      <w:r>
        <w:rPr>
          <w:rFonts w:ascii="Georgia" w:cs="Georgia" w:eastAsia="Georgia" w:hAnsi="Georgia"/>
          <w:sz w:val="22"/>
          <w:szCs w:val="22"/>
        </w:rPr>
        <w:t xml:space="preserve">After years of Detroit-area shoppers traveling for the storied French maison, Cartier opened its first standalone Michigan boutique at Somerset Collection South in Troy on January 17. Cartier Troy leans into the region’s Art Deco heritage — gold accents, fluted columns, floor-to-ceiling windows — and carries the full range: jewelry, watches, leather goods, and fragrance, with a dedicated eyewear section nodding to Detroit’s long love of “Buffs.”</w:t>
      </w:r>
    </w:p>
    <w:p>
      <w:pPr>
        <w:spacing w:after="100" w:before="240"/>
      </w:pPr>
      <w:r>
        <w:rPr>
          <w:rFonts w:ascii="Georgia" w:cs="Georgia" w:eastAsia="Georgia" w:hAnsi="Georgia"/>
          <w:b/>
          <w:bCs/>
          <w:sz w:val="25"/>
          <w:szCs w:val="25"/>
        </w:rPr>
        <w:t xml:space="preserve">Rag &amp; Bone plants its first Michigan flag in Birmingham</w:t>
      </w:r>
    </w:p>
    <w:p>
      <w:pPr>
        <w:spacing w:after="170" w:line="276"/>
      </w:pPr>
      <w:r>
        <w:rPr>
          <w:rFonts w:ascii="Georgia" w:cs="Georgia" w:eastAsia="Georgia" w:hAnsi="Georgia"/>
          <w:sz w:val="22"/>
          <w:szCs w:val="22"/>
        </w:rPr>
        <w:t xml:space="preserve">The New York denim and ready-to-wear label — until now available locally only through department stores like Saks — opened its first standalone Michigan store at 110 S. Old Woodward Avenue. The two-level, loft-style boutique, set inside a restored century-old building, signals how seriously contemporary luxury brands now take downtown Birmingham as a market of its own, not an extension of Troy or Detroit.</w:t>
      </w:r>
    </w:p>
    <w:p>
      <w:pPr>
        <w:spacing w:after="100" w:before="240"/>
      </w:pPr>
      <w:r>
        <w:rPr>
          <w:rFonts w:ascii="Georgia" w:cs="Georgia" w:eastAsia="Georgia" w:hAnsi="Georgia"/>
          <w:b/>
          <w:bCs/>
          <w:sz w:val="25"/>
          <w:szCs w:val="25"/>
        </w:rPr>
        <w:t xml:space="preserve">Vuori doubles down on Birmingham</w:t>
      </w:r>
    </w:p>
    <w:p>
      <w:pPr>
        <w:spacing w:after="170" w:line="276"/>
      </w:pPr>
      <w:r>
        <w:rPr>
          <w:rFonts w:ascii="Georgia" w:cs="Georgia" w:eastAsia="Georgia" w:hAnsi="Georgia"/>
          <w:sz w:val="22"/>
          <w:szCs w:val="22"/>
        </w:rPr>
        <w:t xml:space="preserve">The fast-growing California “laid-back luxury” activewear brand already has a foothold at Somerset, but it’s going bigger with a nearly 4,000-square-foot flagship at the corner of Old Woodward and Maple. The bet: Birmingham can support a signature store on top of its Somerset presence — a real vote of confidence in the district’s foot traffic.</w:t>
      </w:r>
    </w:p>
    <w:p>
      <w:pPr>
        <w:spacing w:after="100" w:before="240"/>
      </w:pPr>
      <w:r>
        <w:rPr>
          <w:rFonts w:ascii="Georgia" w:cs="Georgia" w:eastAsia="Georgia" w:hAnsi="Georgia"/>
          <w:b/>
          <w:bCs/>
          <w:sz w:val="25"/>
          <w:szCs w:val="25"/>
        </w:rPr>
        <w:t xml:space="preserve">Design Within Reach returns to Birmingham</w:t>
      </w:r>
    </w:p>
    <w:p>
      <w:pPr>
        <w:spacing w:after="170" w:line="276"/>
      </w:pPr>
      <w:r>
        <w:rPr>
          <w:rFonts w:ascii="Georgia" w:cs="Georgia" w:eastAsia="Georgia" w:hAnsi="Georgia"/>
          <w:sz w:val="22"/>
          <w:szCs w:val="22"/>
        </w:rPr>
        <w:t xml:space="preserve">Modern-furniture lovers, take note. DWR is coming back to Birmingham, taking roughly 8,000 square feet of the former Anthropologie space on West Maple. It’s part of a broader shift: home-design and furnishings brands now treat Birmingham as a serious showroom market, not just a fashion stop.</w:t>
      </w:r>
    </w:p>
    <w:p>
      <w:pPr>
        <w:spacing w:after="100" w:before="240"/>
      </w:pPr>
      <w:r>
        <w:rPr>
          <w:rFonts w:ascii="Georgia" w:cs="Georgia" w:eastAsia="Georgia" w:hAnsi="Georgia"/>
          <w:b/>
          <w:bCs/>
          <w:sz w:val="25"/>
          <w:szCs w:val="25"/>
        </w:rPr>
        <w:t xml:space="preserve">Via Manzoni brings multi-brand luxury to Birmingham</w:t>
      </w:r>
    </w:p>
    <w:p>
      <w:pPr>
        <w:spacing w:after="170" w:line="276"/>
      </w:pPr>
      <w:r>
        <w:rPr>
          <w:rFonts w:ascii="Georgia" w:cs="Georgia" w:eastAsia="Georgia" w:hAnsi="Georgia"/>
          <w:sz w:val="22"/>
          <w:szCs w:val="22"/>
        </w:rPr>
        <w:t xml:space="preserve">For shoppers who want dozens of designer labels under one roof, Via Manzoni Boutique has opened on Pierce Street in the heart of Birmingham. The concept offers a members-style experience across more than 60 luxury brands, with personal styling and private appointments — a format you’d expect in a larger coastal city.</w:t>
      </w:r>
    </w:p>
    <w:p>
      <w:pPr>
        <w:spacing w:after="100" w:before="240"/>
      </w:pPr>
      <w:r>
        <w:rPr>
          <w:rFonts w:ascii="Georgia" w:cs="Georgia" w:eastAsia="Georgia" w:hAnsi="Georgia"/>
          <w:b/>
          <w:bCs/>
          <w:sz w:val="25"/>
          <w:szCs w:val="25"/>
        </w:rPr>
        <w:t xml:space="preserve">Somerset’s pop-up luxury experiences</w:t>
      </w:r>
    </w:p>
    <w:p>
      <w:pPr>
        <w:spacing w:after="170" w:line="276"/>
      </w:pPr>
      <w:r>
        <w:rPr>
          <w:rFonts w:ascii="Georgia" w:cs="Georgia" w:eastAsia="Georgia" w:hAnsi="Georgia"/>
          <w:sz w:val="22"/>
          <w:szCs w:val="22"/>
        </w:rPr>
        <w:t xml:space="preserve">Beyond permanent stores, Somerset Collection has leaned into limited-run activations. This spring, its Somerset Collection Studio at the Metropolitan Building in downtown Detroit hosted the Luxury Locker Room — more than 25 global brands alongside artisans offering fragrance engraving, luggage personalization, and custom sneaker art — timed to national events drawing attention to the city.</w:t>
      </w:r>
    </w:p>
    <w:p>
      <w:pPr>
        <w:spacing w:after="100" w:before="240"/>
      </w:pPr>
      <w:r>
        <w:rPr>
          <w:rFonts w:ascii="Georgia" w:cs="Georgia" w:eastAsia="Georgia" w:hAnsi="Georgia"/>
          <w:b/>
          <w:bCs/>
          <w:sz w:val="25"/>
          <w:szCs w:val="25"/>
        </w:rPr>
        <w:t xml:space="preserve">Why now?</w:t>
      </w:r>
    </w:p>
    <w:p>
      <w:pPr>
        <w:spacing w:after="170" w:line="276"/>
      </w:pPr>
      <w:r>
        <w:rPr>
          <w:rFonts w:ascii="Georgia" w:cs="Georgia" w:eastAsia="Georgia" w:hAnsi="Georgia"/>
          <w:sz w:val="22"/>
          <w:szCs w:val="22"/>
        </w:rPr>
        <w:t xml:space="preserve">The timing isn’t an accident. It follows the blockbuster debut of RH Detroit, The Gallery — RH’s first Michigan design gallery, which opened in Birmingham in late 2025 with a rooftop restaurant that’s become a destination in its own right. That opening put Birmingham on the radar for global brands scouting Midwest expansion, and every arrival since has reinforced it. Add a growing luxury housing market, rising affluent spending, and a wave of returning international buyers, and it’s clear why brands that once skipped Michigan are now racing to open here.</w:t>
      </w:r>
    </w:p>
    <w:p>
      <w:pPr>
        <w:spacing w:after="0" w:before="180" w:line="272"/>
      </w:pPr>
      <w:r>
        <w:rPr>
          <w:rFonts w:ascii="Georgia" w:cs="Georgia" w:eastAsia="Georgia" w:hAnsi="Georgia"/>
          <w:i/>
          <w:iCs/>
          <w:sz w:val="22"/>
          <w:szCs w:val="22"/>
        </w:rPr>
        <w:t xml:space="preserve">Curious how the neighborhoods anchoring this boom — Birmingham, Bloomfield Hills, and beyond — are performing in the luxury housing market? Explore listings and try the free Michigan Home Score™ tool at LuxMichigan.com.</w:t>
      </w:r>
    </w:p>
    <w:p>
      <w:r>
        <w:br w:type="page"/>
      </w:r>
    </w:p>
    <w:p>
      <w:pPr>
        <w:spacing w:after="60"/>
      </w:pPr>
      <w:r>
        <w:rPr>
          <w:rFonts w:ascii="Georgia" w:cs="Georgia" w:eastAsia="Georgia" w:hAnsi="Georgia"/>
          <w:b/>
          <w:bCs/>
          <w:color w:val="595959"/>
          <w:sz w:val="18"/>
          <w:szCs w:val="18"/>
        </w:rPr>
        <w:t xml:space="preserve">LUXURY MARKET  ·  METRO DETROIT</w:t>
      </w:r>
    </w:p>
    <w:p>
      <w:pPr>
        <w:spacing w:after="110"/>
      </w:pPr>
      <w:r>
        <w:rPr>
          <w:rFonts w:ascii="Georgia" w:cs="Georgia" w:eastAsia="Georgia" w:hAnsi="Georgia"/>
          <w:b/>
          <w:bCs/>
          <w:sz w:val="38"/>
          <w:szCs w:val="38"/>
        </w:rPr>
        <w:t xml:space="preserve">Southeast Michigan’s Luxury Market Is Having a Moment — Here’s Why</w:t>
      </w:r>
    </w:p>
    <w:p>
      <w:pPr>
        <w:spacing w:after="140"/>
      </w:pPr>
      <w:r>
        <w:rPr>
          <w:rFonts w:ascii="Georgia" w:cs="Georgia" w:eastAsia="Georgia" w:hAnsi="Georgia"/>
          <w:i/>
          <w:iCs/>
          <w:color w:val="595959"/>
          <w:sz w:val="23"/>
          <w:szCs w:val="23"/>
        </w:rPr>
        <w:t xml:space="preserve">National headlines about all-cash buyers and inherited wealth can feel far from Birmingham or Grosse Pointe. They’re not — the same forces are here, with a distinctly Michigan twist.</w:t>
      </w:r>
    </w:p>
    <w:p>
      <w:pPr>
        <w:spacing w:after="40"/>
      </w:pPr>
      <w:r>
        <w:rPr>
          <w:rFonts w:ascii="Georgia" w:cs="Georgia" w:eastAsia="Georgia" w:hAnsi="Georgia"/>
          <w:b/>
          <w:bCs/>
          <w:sz w:val="22"/>
          <w:szCs w:val="22"/>
        </w:rPr>
        <w:t xml:space="preserve">By Michael Stroud</w:t>
      </w:r>
    </w:p>
    <w:p>
      <w:pPr>
        <w:pBdr>
          <w:bottom w:val="single" w:color="BFBFBF" w:sz="6" w:space="8"/>
        </w:pBdr>
        <w:spacing w:after="140"/>
      </w:pPr>
      <w:r>
        <w:rPr>
          <w:sz w:val="12"/>
          <w:szCs w:val="12"/>
        </w:rPr>
        <w:t xml:space="preserve"/>
      </w:r>
    </w:p>
    <w:p>
      <w:pPr>
        <w:spacing w:after="100" w:before="240"/>
      </w:pPr>
      <w:r>
        <w:rPr>
          <w:rFonts w:ascii="Georgia" w:cs="Georgia" w:eastAsia="Georgia" w:hAnsi="Georgia"/>
          <w:b/>
          <w:bCs/>
          <w:sz w:val="25"/>
          <w:szCs w:val="25"/>
        </w:rPr>
        <w:t xml:space="preserve">Michigan’s luxury threshold is lower — and that’s fueling growth</w:t>
      </w:r>
    </w:p>
    <w:p>
      <w:pPr>
        <w:spacing w:after="170" w:line="276"/>
      </w:pPr>
      <w:r>
        <w:rPr>
          <w:rFonts w:ascii="Georgia" w:cs="Georgia" w:eastAsia="Georgia" w:hAnsi="Georgia"/>
          <w:sz w:val="22"/>
          <w:szCs w:val="22"/>
        </w:rPr>
        <w:t xml:space="preserve">Nationally, the floor for a “luxury” home now sits around $1.3 million. In Metro Detroit that entry point is meaningfully lower, so as prices rise across the board, more homes cross into luxury territory almost by default. That’s a big reason local forecasters expect the luxury segment to stay strong even as the broader Michigan market settles into steadier 3–5% appreciation.</w:t>
      </w:r>
    </w:p>
    <w:p>
      <w:pPr>
        <w:spacing w:after="100" w:before="240"/>
      </w:pPr>
      <w:r>
        <w:rPr>
          <w:rFonts w:ascii="Georgia" w:cs="Georgia" w:eastAsia="Georgia" w:hAnsi="Georgia"/>
          <w:b/>
          <w:bCs/>
          <w:sz w:val="25"/>
          <w:szCs w:val="25"/>
        </w:rPr>
        <w:t xml:space="preserve">The usual suspects still lead the pack</w:t>
      </w:r>
    </w:p>
    <w:p>
      <w:pPr>
        <w:spacing w:after="170" w:line="276"/>
      </w:pPr>
      <w:r>
        <w:rPr>
          <w:rFonts w:ascii="Georgia" w:cs="Georgia" w:eastAsia="Georgia" w:hAnsi="Georgia"/>
          <w:sz w:val="22"/>
          <w:szCs w:val="22"/>
        </w:rPr>
        <w:t xml:space="preserve">Birmingham, Bloomfield Hills, and Grosse Pointe continue to command the premium end of the market, with pricing that reflects strong demand from affluent local buyers. Oakland County broadly — West Bloomfield, Rochester Hills, Northville, and Novi — remains the region’s strongest overall housing market, consistently drawing move-up buyers, relocating executives, and luxury purchasers who want top schools and easy access to the city.</w:t>
      </w:r>
    </w:p>
    <w:p>
      <w:pPr>
        <w:spacing w:after="100" w:before="240"/>
      </w:pPr>
      <w:r>
        <w:rPr>
          <w:rFonts w:ascii="Georgia" w:cs="Georgia" w:eastAsia="Georgia" w:hAnsi="Georgia"/>
          <w:b/>
          <w:bCs/>
          <w:sz w:val="25"/>
          <w:szCs w:val="25"/>
        </w:rPr>
        <w:t xml:space="preserve">Waterfront is proving remarkably rate-resistant</w:t>
      </w:r>
    </w:p>
    <w:p>
      <w:pPr>
        <w:spacing w:after="170" w:line="276"/>
      </w:pPr>
      <w:r>
        <w:rPr>
          <w:rFonts w:ascii="Georgia" w:cs="Georgia" w:eastAsia="Georgia" w:hAnsi="Georgia"/>
          <w:sz w:val="22"/>
          <w:szCs w:val="22"/>
        </w:rPr>
        <w:t xml:space="preserve">Echoing the national “cash buyers insulated from rates” story, Michigan’s waterfront luxury inventory has held up notably well even as financing costs weigh on the broader market. Cash-heavy buyer pools and growing international investment interest are keeping demand for lakefront and waterfront properties strong.</w:t>
      </w:r>
    </w:p>
    <w:p>
      <w:pPr>
        <w:spacing w:after="100" w:before="240"/>
      </w:pPr>
      <w:r>
        <w:rPr>
          <w:rFonts w:ascii="Georgia" w:cs="Georgia" w:eastAsia="Georgia" w:hAnsi="Georgia"/>
          <w:b/>
          <w:bCs/>
          <w:sz w:val="25"/>
          <w:szCs w:val="25"/>
        </w:rPr>
        <w:t xml:space="preserve">Detroit’s urban core is now a legitimate luxury story</w:t>
      </w:r>
    </w:p>
    <w:p>
      <w:pPr>
        <w:spacing w:after="170" w:line="276"/>
      </w:pPr>
      <w:r>
        <w:rPr>
          <w:rFonts w:ascii="Georgia" w:cs="Georgia" w:eastAsia="Georgia" w:hAnsi="Georgia"/>
          <w:sz w:val="22"/>
          <w:szCs w:val="22"/>
        </w:rPr>
        <w:t xml:space="preserve">This isn’t only a suburban phenomenon. Corktown has become the city’s most architecturally interesting residential address, anchored by the restoration of Michigan Central Station, while Downtown and Midtown continue a multi-year revitalization — new-build and renovated inventory drawing both domestic buyers and selective international capital that still sees value here.</w:t>
      </w:r>
    </w:p>
    <w:p>
      <w:pPr>
        <w:spacing w:after="100" w:before="240"/>
      </w:pPr>
      <w:r>
        <w:rPr>
          <w:rFonts w:ascii="Georgia" w:cs="Georgia" w:eastAsia="Georgia" w:hAnsi="Georgia"/>
          <w:b/>
          <w:bCs/>
          <w:sz w:val="25"/>
          <w:szCs w:val="25"/>
        </w:rPr>
        <w:t xml:space="preserve">Supply still isn’t catching up</w:t>
      </w:r>
    </w:p>
    <w:p>
      <w:pPr>
        <w:spacing w:after="170" w:line="276"/>
      </w:pPr>
      <w:r>
        <w:rPr>
          <w:rFonts w:ascii="Georgia" w:cs="Georgia" w:eastAsia="Georgia" w:hAnsi="Georgia"/>
          <w:sz w:val="22"/>
          <w:szCs w:val="22"/>
        </w:rPr>
        <w:t xml:space="preserve">Michigan needs roughly 25,000 new homes built annually to keep pace with demand; Metro Detroit alone needs about 14,000. Current projections land closer to 9,000. That persistent gap — driven by materials and labor constraints — keeps well-located luxury inventory competitive even in a market that looks “balanced” on paper.</w:t>
      </w:r>
    </w:p>
    <w:p>
      <w:pPr>
        <w:spacing w:after="100" w:before="240"/>
      </w:pPr>
      <w:r>
        <w:rPr>
          <w:rFonts w:ascii="Georgia" w:cs="Georgia" w:eastAsia="Georgia" w:hAnsi="Georgia"/>
          <w:b/>
          <w:bCs/>
          <w:sz w:val="25"/>
          <w:szCs w:val="25"/>
        </w:rPr>
        <w:t xml:space="preserve">What it means if you’re buying or selling here</w:t>
      </w:r>
    </w:p>
    <w:p>
      <w:pPr>
        <w:spacing w:after="170" w:line="276"/>
      </w:pPr>
      <w:r>
        <w:rPr>
          <w:rFonts w:ascii="Georgia" w:cs="Georgia" w:eastAsia="Georgia" w:hAnsi="Georgia"/>
          <w:sz w:val="22"/>
          <w:szCs w:val="22"/>
        </w:rPr>
        <w:t xml:space="preserve">Southeast Michigan offers something increasingly rare in the luxury conversation: real value. Buyers priced out of the coasts are finding the same budget goes much further in Birmingham or on a Michigan lake than chasing a trophy property in Florida or New York — while still tapping the same fundamentals driving the national boom: scarcity, multigenerational appeal, and long-term wealth preservation.</w:t>
      </w:r>
    </w:p>
    <w:p>
      <w:pPr>
        <w:spacing w:after="0" w:before="180" w:line="272"/>
      </w:pPr>
      <w:r>
        <w:rPr>
          <w:rFonts w:ascii="Georgia" w:cs="Georgia" w:eastAsia="Georgia" w:hAnsi="Georgia"/>
          <w:i/>
          <w:iCs/>
          <w:sz w:val="22"/>
          <w:szCs w:val="22"/>
        </w:rPr>
        <w:t xml:space="preserve">Want to see where your home fits in today’s luxury market? Try the free Michigan Home Score™ tool at LuxMichigan.com.</w:t>
      </w:r>
    </w:p>
    <w:p>
      <w:r>
        <w:br w:type="page"/>
      </w:r>
    </w:p>
    <w:p>
      <w:pPr>
        <w:spacing w:after="60"/>
      </w:pPr>
      <w:r>
        <w:rPr>
          <w:rFonts w:ascii="Georgia" w:cs="Georgia" w:eastAsia="Georgia" w:hAnsi="Georgia"/>
          <w:b/>
          <w:bCs/>
          <w:color w:val="595959"/>
          <w:sz w:val="18"/>
          <w:szCs w:val="18"/>
        </w:rPr>
        <w:t xml:space="preserve">MARKET TRENDS  ·  2026</w:t>
      </w:r>
    </w:p>
    <w:p>
      <w:pPr>
        <w:spacing w:after="110"/>
      </w:pPr>
      <w:r>
        <w:rPr>
          <w:rFonts w:ascii="Georgia" w:cs="Georgia" w:eastAsia="Georgia" w:hAnsi="Georgia"/>
          <w:b/>
          <w:bCs/>
          <w:sz w:val="38"/>
          <w:szCs w:val="38"/>
        </w:rPr>
        <w:t xml:space="preserve">5 Luxury Real Estate Trends Reshaping the Market in 2026</w:t>
      </w:r>
    </w:p>
    <w:p>
      <w:pPr>
        <w:spacing w:after="140"/>
      </w:pPr>
      <w:r>
        <w:rPr>
          <w:rFonts w:ascii="Georgia" w:cs="Georgia" w:eastAsia="Georgia" w:hAnsi="Georgia"/>
          <w:i/>
          <w:iCs/>
          <w:color w:val="595959"/>
          <w:sz w:val="23"/>
          <w:szCs w:val="23"/>
        </w:rPr>
        <w:t xml:space="preserve">While the broader housing market cools under high rates, the top end is doing the opposite — expanding, diversifying, and pulling in capital from around the world.</w:t>
      </w:r>
    </w:p>
    <w:p>
      <w:pPr>
        <w:spacing w:after="40"/>
      </w:pPr>
      <w:r>
        <w:rPr>
          <w:rFonts w:ascii="Georgia" w:cs="Georgia" w:eastAsia="Georgia" w:hAnsi="Georgia"/>
          <w:b/>
          <w:bCs/>
          <w:sz w:val="22"/>
          <w:szCs w:val="22"/>
        </w:rPr>
        <w:t xml:space="preserve">By Michael Stroud</w:t>
      </w:r>
    </w:p>
    <w:p>
      <w:pPr>
        <w:pBdr>
          <w:bottom w:val="single" w:color="BFBFBF" w:sz="6" w:space="8"/>
        </w:pBdr>
        <w:spacing w:after="140"/>
      </w:pPr>
      <w:r>
        <w:rPr>
          <w:sz w:val="12"/>
          <w:szCs w:val="12"/>
        </w:rPr>
        <w:t xml:space="preserve"/>
      </w:r>
    </w:p>
    <w:p>
      <w:pPr>
        <w:spacing w:after="170" w:line="276"/>
      </w:pPr>
      <w:r>
        <w:rPr>
          <w:rFonts w:ascii="Georgia" w:cs="Georgia" w:eastAsia="Georgia" w:hAnsi="Georgia"/>
          <w:sz w:val="22"/>
          <w:szCs w:val="22"/>
        </w:rPr>
        <w:t xml:space="preserve">The luxury housing market is playing by a different set of rules this year. As affordability squeezes buyers in the middle, the top of the market keeps growing. Here’s what’s actually driving that divide — and what it means for buyers and sellers at the high end.</w:t>
      </w:r>
    </w:p>
    <w:p>
      <w:pPr>
        <w:spacing w:after="100" w:before="240"/>
      </w:pPr>
      <w:r>
        <w:rPr>
          <w:rFonts w:ascii="Georgia" w:cs="Georgia" w:eastAsia="Georgia" w:hAnsi="Georgia"/>
          <w:b/>
          <w:bCs/>
          <w:sz w:val="25"/>
          <w:szCs w:val="25"/>
        </w:rPr>
        <w:t xml:space="preserve">1. The wealth divide is widening</w:t>
      </w:r>
    </w:p>
    <w:p>
      <w:pPr>
        <w:spacing w:after="170" w:line="276"/>
      </w:pPr>
      <w:r>
        <w:rPr>
          <w:rFonts w:ascii="Georgia" w:cs="Georgia" w:eastAsia="Georgia" w:hAnsi="Georgia"/>
          <w:sz w:val="22"/>
          <w:szCs w:val="22"/>
        </w:rPr>
        <w:t xml:space="preserve">Luxury agents are seeing a split within their own client base. Nearly two-thirds now report an increase in all-cash purchases from a year ago — a sign that ultra-high-net-worth buyers, insulated from financing costs, are accelerating deals while buyers just below that tier hold off for rate clarity. Roughly a quarter of luxury specialists call this wealth divide one of the defining stories of the year.</w:t>
      </w:r>
    </w:p>
    <w:p>
      <w:pPr>
        <w:spacing w:after="100" w:before="240"/>
      </w:pPr>
      <w:r>
        <w:rPr>
          <w:rFonts w:ascii="Georgia" w:cs="Georgia" w:eastAsia="Georgia" w:hAnsi="Georgia"/>
          <w:b/>
          <w:bCs/>
          <w:sz w:val="25"/>
          <w:szCs w:val="25"/>
        </w:rPr>
        <w:t xml:space="preserve">2. “Landmaxxing” — buyers want the whole block, not just the house</w:t>
      </w:r>
    </w:p>
    <w:p>
      <w:pPr>
        <w:spacing w:after="170" w:line="276"/>
      </w:pPr>
      <w:r>
        <w:rPr>
          <w:rFonts w:ascii="Georgia" w:cs="Georgia" w:eastAsia="Georgia" w:hAnsi="Georgia"/>
          <w:sz w:val="22"/>
          <w:szCs w:val="22"/>
        </w:rPr>
        <w:t xml:space="preserve">Privacy and control have become the new status symbols. Searches for estates, châteaux, castles, historic properties, and private islands jumped 146% year over year, and land searches rose 97%. Some buyers aren’t stopping at the property line — they’re buying adjacent parcels to control who ends up next door, preserve a view, or assemble a true family compound.</w:t>
      </w:r>
    </w:p>
    <w:p>
      <w:pPr>
        <w:spacing w:after="100" w:before="240"/>
      </w:pPr>
      <w:r>
        <w:rPr>
          <w:rFonts w:ascii="Georgia" w:cs="Georgia" w:eastAsia="Georgia" w:hAnsi="Georgia"/>
          <w:b/>
          <w:bCs/>
          <w:sz w:val="25"/>
          <w:szCs w:val="25"/>
        </w:rPr>
        <w:t xml:space="preserve">3. Multigenerational living is now a mainstream luxury feature</w:t>
      </w:r>
    </w:p>
    <w:p>
      <w:pPr>
        <w:spacing w:after="170" w:line="276"/>
      </w:pPr>
      <w:r>
        <w:rPr>
          <w:rFonts w:ascii="Georgia" w:cs="Georgia" w:eastAsia="Georgia" w:hAnsi="Georgia"/>
          <w:sz w:val="22"/>
          <w:szCs w:val="22"/>
        </w:rPr>
        <w:t xml:space="preserve">Nearly one in five U.S. home purchases now involves buyers planning to live with relatives beyond their immediate household — often grandparents who help fund the purchase. Detached guest houses, adjoining apartments, and dual primary suites are shifting from nice-to-have to design requirement, especially for Gen X and millennial buyers managing young kids and aging parents at once.</w:t>
      </w:r>
    </w:p>
    <w:p>
      <w:pPr>
        <w:spacing w:after="100" w:before="240"/>
      </w:pPr>
      <w:r>
        <w:rPr>
          <w:rFonts w:ascii="Georgia" w:cs="Georgia" w:eastAsia="Georgia" w:hAnsi="Georgia"/>
          <w:b/>
          <w:bCs/>
          <w:sz w:val="25"/>
          <w:szCs w:val="25"/>
        </w:rPr>
        <w:t xml:space="preserve">4. International buyers are back in a big way</w:t>
      </w:r>
    </w:p>
    <w:p>
      <w:pPr>
        <w:spacing w:after="170" w:line="276"/>
      </w:pPr>
      <w:r>
        <w:rPr>
          <w:rFonts w:ascii="Georgia" w:cs="Georgia" w:eastAsia="Georgia" w:hAnsi="Georgia"/>
          <w:sz w:val="22"/>
          <w:szCs w:val="22"/>
        </w:rPr>
        <w:t xml:space="preserve">After several quiet years, foreign interest in U.S. luxury real estate has surged. Global searches for U.S. luxury property jumped 100% in the first five months of the year, and Sotheby’s reports a 44% rise in foreign-buyer activity. New York draws the most international inquiries, but Florida and California are both seeing renewed interest from overseas capital.</w:t>
      </w:r>
    </w:p>
    <w:p>
      <w:pPr>
        <w:spacing w:after="100" w:before="240"/>
      </w:pPr>
      <w:r>
        <w:rPr>
          <w:rFonts w:ascii="Georgia" w:cs="Georgia" w:eastAsia="Georgia" w:hAnsi="Georgia"/>
          <w:b/>
          <w:bCs/>
          <w:sz w:val="25"/>
          <w:szCs w:val="25"/>
        </w:rPr>
        <w:t xml:space="preserve">5. The home as a wealth strategy, not just a lifestyle purchase</w:t>
      </w:r>
    </w:p>
    <w:p>
      <w:pPr>
        <w:spacing w:after="170" w:line="276"/>
      </w:pPr>
      <w:r>
        <w:rPr>
          <w:rFonts w:ascii="Georgia" w:cs="Georgia" w:eastAsia="Georgia" w:hAnsi="Georgia"/>
          <w:sz w:val="22"/>
          <w:szCs w:val="22"/>
        </w:rPr>
        <w:t xml:space="preserve">The biggest mindset shift: affluent buyers increasingly treat real estate as core to their financial strategy rather than a discretionary lifestyle purchase. Analysts call it “nest investing” — reallocating wealth toward the home the way one would toward a diversified portfolio. Home-related spending among ultra-high-net-worth households is projected to rise more than 18% this year, potentially outpacing spending on cars, jewelry, and travel.</w:t>
      </w:r>
    </w:p>
    <w:p>
      <w:pPr>
        <w:spacing w:after="100" w:before="240"/>
      </w:pPr>
      <w:r>
        <w:rPr>
          <w:rFonts w:ascii="Georgia" w:cs="Georgia" w:eastAsia="Georgia" w:hAnsi="Georgia"/>
          <w:b/>
          <w:bCs/>
          <w:sz w:val="25"/>
          <w:szCs w:val="25"/>
        </w:rPr>
        <w:t xml:space="preserve">The bigger picture</w:t>
      </w:r>
    </w:p>
    <w:p>
      <w:pPr>
        <w:spacing w:after="170" w:line="276"/>
      </w:pPr>
      <w:r>
        <w:rPr>
          <w:rFonts w:ascii="Georgia" w:cs="Georgia" w:eastAsia="Georgia" w:hAnsi="Georgia"/>
          <w:sz w:val="22"/>
          <w:szCs w:val="22"/>
        </w:rPr>
        <w:t xml:space="preserve">Roughly $6 trillion changed hands through inheritance in the past year alone, and that generational wealth transfer is becoming one of the strongest demand drivers in luxury real estate. Combine it with returning international capital and a widening gap between cash-rich and financing-dependent buyers, and the luxury segment looks less like an extension of the broader housing market and more like its own asset class — remarkably resilient even as the rest of the market waits out higher rates.</w:t>
      </w:r>
    </w:p>
    <w:p>
      <w:pPr>
        <w:spacing w:after="0" w:before="180" w:line="272"/>
      </w:pPr>
      <w:r>
        <w:rPr>
          <w:rFonts w:ascii="Georgia" w:cs="Georgia" w:eastAsia="Georgia" w:hAnsi="Georgia"/>
          <w:i/>
          <w:iCs/>
          <w:sz w:val="22"/>
          <w:szCs w:val="22"/>
        </w:rPr>
        <w:t xml:space="preserve">Curious how these national trends show up closer to home? Read the companion piece on Metro Detroit’s luxury market — or try the free Michigan Home Score™ tool at LuxMichigan.com.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Luxury Articles</dc:title>
  <dc:creator>Nikki Snyder</dc:creator>
  <cp:lastModifiedBy>Un-named</cp:lastModifiedBy>
  <cp:revision>1</cp:revision>
  <dcterms:created xsi:type="dcterms:W3CDTF">2026-09-16T19:53:33.553Z</dcterms:created>
  <dcterms:modified xsi:type="dcterms:W3CDTF">2026-09-16T19:53:33.553Z</dcterms:modified>
</cp:coreProperties>
</file>

<file path=docProps/custom.xml><?xml version="1.0" encoding="utf-8"?>
<Properties xmlns="http://schemas.openxmlformats.org/officeDocument/2006/custom-properties" xmlns:vt="http://schemas.openxmlformats.org/officeDocument/2006/docPropsVTypes"/>
</file>